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316447</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Xiamen, China, October 09–October 13</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general aspects on RRM core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5.7.2.1</w:t>
      </w:r>
      <w:bookmarkStart w:id="1" w:name="_GoBack"/>
      <w:bookmarkEnd w:id="1"/>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recent RAN plenary 100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NOTEs related with L3 measurement delay.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spacing w:after="0"/>
              <w:rPr>
                <w:lang w:val="en-US"/>
              </w:rPr>
            </w:pPr>
            <w:r>
              <w:rPr>
                <w:lang w:val="en-US"/>
              </w:rPr>
              <w:t>Introduce necessary requirement(s) for enhanced FR2-1 UEs with simultaneous DL reception with two different QCL TypeD RSs on single component carrier with up to 4 layer DL MIMO</w:t>
            </w:r>
          </w:p>
          <w:p>
            <w:pPr>
              <w:numPr>
                <w:ilvl w:val="1"/>
                <w:numId w:val="5"/>
              </w:numPr>
              <w:spacing w:after="0"/>
              <w:rPr>
                <w:lang w:val="en-US"/>
              </w:rPr>
            </w:pPr>
            <w:r>
              <w:rPr>
                <w:rFonts w:hint="eastAsia"/>
                <w:lang w:val="en-US"/>
              </w:rPr>
              <w:t>Enhanced RF requirements:</w:t>
            </w:r>
          </w:p>
          <w:p>
            <w:pPr>
              <w:numPr>
                <w:ilvl w:val="2"/>
                <w:numId w:val="5"/>
              </w:numPr>
              <w:spacing w:after="0"/>
              <w:rPr>
                <w:lang w:val="en-US"/>
              </w:rPr>
            </w:pPr>
            <w:r>
              <w:rPr>
                <w:lang w:val="en-US"/>
              </w:rPr>
              <w:t>Specify RF requirements, mainly spherical coverage requirements, for devices with simultaneous reception from different directions with different QCL TypeD RSs</w:t>
            </w:r>
            <w:bookmarkStart w:id="0" w:name="_Hlk104922953"/>
          </w:p>
          <w:bookmarkEnd w:id="0"/>
          <w:p>
            <w:pPr>
              <w:numPr>
                <w:ilvl w:val="2"/>
                <w:numId w:val="5"/>
              </w:numPr>
              <w:spacing w:after="0"/>
              <w:rPr>
                <w:lang w:val="en-US"/>
              </w:rPr>
            </w:pPr>
            <w:r>
              <w:rPr>
                <w:lang w:val="en-US"/>
              </w:rPr>
              <w:t>The legacy spherical coverage requirement for reception from a single direction will be kept</w:t>
            </w:r>
          </w:p>
          <w:p>
            <w:pPr>
              <w:numPr>
                <w:ilvl w:val="2"/>
                <w:numId w:val="5"/>
              </w:numPr>
              <w:spacing w:after="0"/>
              <w:rPr>
                <w:lang w:val="en-US"/>
              </w:rPr>
            </w:pPr>
            <w:r>
              <w:rPr>
                <w:lang w:val="en-US"/>
              </w:rPr>
              <w:t>PC3 will be prioritized, other power classes should be considered after the PC3 requirements framework is finalized</w:t>
            </w:r>
          </w:p>
          <w:p>
            <w:pPr>
              <w:numPr>
                <w:ilvl w:val="0"/>
                <w:numId w:val="5"/>
              </w:numPr>
              <w:spacing w:after="0"/>
              <w:rPr>
                <w:lang w:val="en-US"/>
              </w:rPr>
            </w:pPr>
            <w:r>
              <w:rPr>
                <w:lang w:val="en-US"/>
              </w:rPr>
              <w:t>Introduce necessary requirement(s) for enhanced FR2-1 UEs with simultaneous DL reception from different directions with different QCL TypeD RSs on a single component carrier</w:t>
            </w:r>
          </w:p>
          <w:p>
            <w:pPr>
              <w:numPr>
                <w:ilvl w:val="1"/>
                <w:numId w:val="5"/>
              </w:numPr>
              <w:spacing w:after="0"/>
              <w:rPr>
                <w:lang w:val="en-US"/>
              </w:rPr>
            </w:pPr>
            <w:r>
              <w:rPr>
                <w:rFonts w:hint="eastAsia"/>
                <w:lang w:val="en-US"/>
              </w:rPr>
              <w:t>Enhanced R</w:t>
            </w:r>
            <w:r>
              <w:rPr>
                <w:lang w:val="en-US"/>
              </w:rPr>
              <w:t>RM</w:t>
            </w:r>
            <w:r>
              <w:rPr>
                <w:rFonts w:hint="eastAsia"/>
                <w:lang w:val="en-US"/>
              </w:rPr>
              <w:t xml:space="preserve"> requirements:</w:t>
            </w:r>
          </w:p>
          <w:p>
            <w:pPr>
              <w:numPr>
                <w:ilvl w:val="2"/>
                <w:numId w:val="5"/>
              </w:numPr>
              <w:spacing w:after="0"/>
              <w:rPr>
                <w:lang w:val="en-US"/>
              </w:rPr>
            </w:pPr>
            <w:r>
              <w:rPr>
                <w:rFonts w:hint="eastAsia"/>
                <w:lang w:val="en-US" w:eastAsia="ja-JP"/>
              </w:rPr>
              <w:t>T</w:t>
            </w:r>
            <w:r>
              <w:rPr>
                <w:lang w:val="en-US" w:eastAsia="ja-JP"/>
              </w:rPr>
              <w:t>he following requirements should be studied and specified if necessary:</w:t>
            </w:r>
          </w:p>
          <w:p>
            <w:pPr>
              <w:numPr>
                <w:ilvl w:val="3"/>
                <w:numId w:val="5"/>
              </w:numPr>
              <w:spacing w:after="0"/>
              <w:rPr>
                <w:lang w:val="en-US"/>
              </w:rPr>
            </w:pPr>
            <w:r>
              <w:rPr>
                <w:lang w:val="en-US"/>
              </w:rPr>
              <w:t>L1-RSRP measurement delay</w:t>
            </w:r>
          </w:p>
          <w:p>
            <w:pPr>
              <w:numPr>
                <w:ilvl w:val="3"/>
                <w:numId w:val="5"/>
              </w:numPr>
              <w:spacing w:after="0"/>
              <w:rPr>
                <w:lang w:val="en-US"/>
              </w:rPr>
            </w:pPr>
            <w:r>
              <w:rPr>
                <w:lang w:val="en-US"/>
              </w:rPr>
              <w:t>RLM and BFD/CBD requirements</w:t>
            </w:r>
          </w:p>
          <w:p>
            <w:pPr>
              <w:numPr>
                <w:ilvl w:val="3"/>
                <w:numId w:val="5"/>
              </w:numPr>
              <w:spacing w:after="0"/>
              <w:rPr>
                <w:lang w:val="en-US"/>
              </w:rPr>
            </w:pPr>
            <w:r>
              <w:rPr>
                <w:lang w:val="en-US"/>
              </w:rPr>
              <w:t>Scheduling/measurement restrictions</w:t>
            </w:r>
          </w:p>
          <w:p>
            <w:pPr>
              <w:numPr>
                <w:ilvl w:val="3"/>
                <w:numId w:val="5"/>
              </w:numPr>
              <w:spacing w:after="0"/>
              <w:rPr>
                <w:lang w:val="en-US"/>
              </w:rPr>
            </w:pPr>
            <w:r>
              <w:rPr>
                <w:lang w:val="en-US"/>
              </w:rPr>
              <w:t>TCI state switching delay with dual TCI</w:t>
            </w:r>
          </w:p>
          <w:p>
            <w:pPr>
              <w:numPr>
                <w:ilvl w:val="3"/>
                <w:numId w:val="5"/>
              </w:numPr>
              <w:spacing w:after="0"/>
              <w:rPr>
                <w:bCs/>
              </w:rPr>
            </w:pPr>
            <w:r>
              <w:rPr>
                <w:lang w:val="en-US"/>
              </w:rPr>
              <w:t>Receive timing difference between different directions (different QCL Type D RSs)</w:t>
            </w:r>
          </w:p>
          <w:p>
            <w:pPr>
              <w:spacing w:after="0"/>
              <w:rPr>
                <w:bCs/>
                <w:lang w:eastAsia="ja-JP"/>
              </w:rPr>
            </w:pPr>
            <w:r>
              <w:rPr>
                <w:rFonts w:hint="eastAsia"/>
                <w:bCs/>
                <w:lang w:eastAsia="ja-JP"/>
              </w:rPr>
              <w:t>N</w:t>
            </w:r>
            <w:r>
              <w:rPr>
                <w:bCs/>
                <w:lang w:eastAsia="ja-JP"/>
              </w:rPr>
              <w:t>OTEs:</w:t>
            </w:r>
          </w:p>
          <w:p>
            <w:pPr>
              <w:numPr>
                <w:ilvl w:val="1"/>
                <w:numId w:val="5"/>
              </w:numPr>
              <w:spacing w:after="0"/>
              <w:rPr>
                <w:rFonts w:hint="eastAsia" w:eastAsia="宋体"/>
                <w:vertAlign w:val="baseline"/>
                <w:lang w:val="en-US" w:eastAsia="zh-CN"/>
              </w:rPr>
            </w:pPr>
            <w:r>
              <w:rPr>
                <w:rFonts w:hint="eastAsia"/>
                <w:lang w:val="en-US"/>
              </w:rPr>
              <w:t>T</w:t>
            </w:r>
            <w:r>
              <w:rPr>
                <w:lang w:val="en-US"/>
              </w:rPr>
              <w:t>he case of single TCI is handled as a second priority. Additional aspects related to single TCI can be further revisited.</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scope, scenarios and capabilities of simultaneous multi-panel/multi-beam reception and some agreements were achieved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numPr>
                <w:ilvl w:val="0"/>
                <w:numId w:val="0"/>
              </w:numPr>
              <w:ind w:leftChars="0"/>
              <w:rPr>
                <w:sz w:val="24"/>
                <w:szCs w:val="24"/>
              </w:rPr>
            </w:pPr>
            <w:r>
              <w:rPr>
                <w:sz w:val="24"/>
                <w:szCs w:val="24"/>
              </w:rPr>
              <w:t>Sub-topic 1-1: Scope and scenarios</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1-1-9a: Rx beam assumption for “simultaneous reception”</w:t>
            </w:r>
          </w:p>
          <w:p>
            <w:pPr>
              <w:pStyle w:val="28"/>
              <w:numPr>
                <w:ilvl w:val="0"/>
                <w:numId w:val="3"/>
              </w:numPr>
              <w:overflowPunct/>
              <w:autoSpaceDE/>
              <w:autoSpaceDN/>
              <w:adjustRightInd/>
              <w:spacing w:after="120"/>
              <w:ind w:left="720"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No need to specify AoA separation conditions in RRM core requirements for simultaneous reception from 2 directions.</w:t>
            </w:r>
          </w:p>
          <w:p>
            <w:pPr>
              <w:pStyle w:val="28"/>
              <w:numPr>
                <w:ilvl w:val="1"/>
                <w:numId w:val="3"/>
              </w:numPr>
              <w:overflowPunct/>
              <w:autoSpaceDE/>
              <w:autoSpaceDN/>
              <w:adjustRightInd/>
              <w:spacing w:after="120"/>
              <w:ind w:left="1440" w:firstLine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I</w:t>
            </w:r>
            <w:r>
              <w:rPr>
                <w:color w:val="000000" w:themeColor="text1"/>
                <w14:textFill>
                  <w14:solidFill>
                    <w14:schemeClr w14:val="tx1"/>
                  </w14:solidFill>
                </w14:textFill>
              </w:rPr>
              <w:t>t may be captured as side condition in the test for multi-Rx operation.</w:t>
            </w:r>
          </w:p>
          <w:p>
            <w:pPr>
              <w:pStyle w:val="28"/>
              <w:numPr>
                <w:ilvl w:val="0"/>
                <w:numId w:val="3"/>
              </w:numPr>
              <w:overflowPunct/>
              <w:autoSpaceDE/>
              <w:autoSpaceDN/>
              <w:adjustRightInd/>
              <w:spacing w:after="120"/>
              <w:ind w:left="720" w:firstLineChars="0"/>
              <w:textAlignment w:val="auto"/>
              <w:rPr>
                <w:sz w:val="24"/>
                <w:szCs w:val="24"/>
              </w:rPr>
            </w:pPr>
            <w:r>
              <w:rPr>
                <w:color w:val="000000" w:themeColor="text1"/>
                <w14:textFill>
                  <w14:solidFill>
                    <w14:schemeClr w14:val="tx1"/>
                  </w14:solidFill>
                </w14:textFill>
              </w:rPr>
              <w:t>How Rx beams are used to receive two AoAs simultaneously is up to UE implementation.</w:t>
            </w:r>
          </w:p>
          <w:p>
            <w:pPr>
              <w:pStyle w:val="3"/>
              <w:numPr>
                <w:ilvl w:val="0"/>
                <w:numId w:val="0"/>
              </w:numPr>
              <w:ind w:leftChars="0"/>
              <w:rPr>
                <w:sz w:val="24"/>
                <w:szCs w:val="24"/>
              </w:rPr>
            </w:pPr>
            <w:r>
              <w:rPr>
                <w:sz w:val="24"/>
                <w:szCs w:val="24"/>
              </w:rPr>
              <w:t>Sub-topic 1-2: RRM requirements impact</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1-2-5: Indication of multi-Rx operation</w:t>
            </w:r>
          </w:p>
          <w:p>
            <w:pPr>
              <w:rPr>
                <w:color w:val="0070C0"/>
              </w:rPr>
            </w:pPr>
            <w:r>
              <w:rPr>
                <w:color w:val="0070C0"/>
              </w:rPr>
              <w:t>&lt;Online agreement&gt;</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Introduce a new UE assistance information to indicate to network of the UE preference on multi-Rx operation due to [power saving or] overheating purposes (i.e., UE preference on not supporting simultaneous reception with different QCL-typeD). </w:t>
            </w:r>
          </w:p>
          <w:p>
            <w:pPr>
              <w:pStyle w:val="28"/>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FFS on the detailed set of associated UE capabilities</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signalling details are up to RAN2.</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Send LS to RAN2. </w:t>
            </w:r>
          </w:p>
          <w:p>
            <w:pPr>
              <w:pStyle w:val="3"/>
              <w:numPr>
                <w:ilvl w:val="0"/>
                <w:numId w:val="0"/>
              </w:numPr>
              <w:ind w:leftChars="0"/>
              <w:rPr>
                <w:sz w:val="24"/>
                <w:szCs w:val="24"/>
              </w:rPr>
            </w:pPr>
            <w:r>
              <w:rPr>
                <w:sz w:val="24"/>
                <w:szCs w:val="24"/>
              </w:rPr>
              <w:t>Sub-topic 1-3: Applicability and conditions</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1-3-3: Detectable condition of RS signals</w:t>
            </w:r>
          </w:p>
          <w:p>
            <w:pPr>
              <w:pStyle w:val="28"/>
              <w:numPr>
                <w:ilvl w:val="0"/>
                <w:numId w:val="3"/>
              </w:numPr>
              <w:overflowPunct/>
              <w:autoSpaceDE/>
              <w:autoSpaceDN/>
              <w:adjustRightInd/>
              <w:spacing w:after="120"/>
              <w:ind w:left="720" w:firstLineChars="0"/>
              <w:textAlignment w:val="auto"/>
              <w:rPr>
                <w:rFonts w:hint="default" w:ascii="Times New Roman" w:hAnsi="Times New Roman" w:eastAsia="Times New Roman" w:cs="Times New Roman"/>
                <w:bCs/>
                <w:kern w:val="0"/>
                <w:sz w:val="20"/>
                <w:szCs w:val="24"/>
                <w:lang w:val="en-US" w:eastAsia="zh-CN" w:bidi="ar-SA"/>
              </w:rPr>
            </w:pPr>
            <w:r>
              <w:rPr>
                <w:rFonts w:eastAsia="宋体"/>
                <w:color w:val="000000" w:themeColor="text1"/>
                <w:szCs w:val="24"/>
                <w:lang w:eastAsia="zh-CN"/>
                <w14:textFill>
                  <w14:solidFill>
                    <w14:schemeClr w14:val="tx1"/>
                  </w14:solidFill>
                </w14:textFill>
              </w:rPr>
              <w:t>The issue is covered by issue 2-1-4 for TCI state switch.</w:t>
            </w:r>
          </w:p>
          <w:p>
            <w:pPr>
              <w:pStyle w:val="3"/>
              <w:numPr>
                <w:ilvl w:val="0"/>
                <w:numId w:val="0"/>
              </w:numPr>
              <w:ind w:leftChars="0"/>
              <w:rPr>
                <w:sz w:val="24"/>
                <w:szCs w:val="24"/>
              </w:rPr>
            </w:pPr>
            <w:r>
              <w:rPr>
                <w:sz w:val="24"/>
                <w:szCs w:val="24"/>
              </w:rPr>
              <w:t>Sub-topic 1-4: UE capability</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1-4-6: UE feature list</w:t>
            </w:r>
          </w:p>
          <w:p>
            <w:pPr>
              <w:pStyle w:val="28"/>
              <w:numPr>
                <w:ilvl w:val="0"/>
                <w:numId w:val="3"/>
              </w:numPr>
              <w:overflowPunct/>
              <w:autoSpaceDE/>
              <w:autoSpaceDN/>
              <w:adjustRightInd/>
              <w:spacing w:after="120"/>
              <w:ind w:left="720" w:firstLineChars="0"/>
              <w:textAlignment w:val="auto"/>
              <w:rPr>
                <w:rFonts w:hint="default" w:ascii="Times New Roman" w:hAnsi="Times New Roman" w:eastAsia="Times New Roman" w:cs="Times New Roman"/>
                <w:bCs/>
                <w:kern w:val="0"/>
                <w:sz w:val="20"/>
                <w:szCs w:val="24"/>
                <w:lang w:val="en-US" w:eastAsia="zh-CN" w:bidi="ar-SA"/>
              </w:rPr>
            </w:pPr>
            <w:r>
              <w:rPr>
                <w:color w:val="000000" w:themeColor="text1"/>
                <w14:textFill>
                  <w14:solidFill>
                    <w14:schemeClr w14:val="tx1"/>
                  </w14:solidFill>
                </w14:textFill>
              </w:rPr>
              <w:t>UE capabilities related to multi-Rx operations shall be discussed in UE feature list.</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further analysis focus on the remaining general and scope issues around simultaneous multi-panel reception.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1</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Applicability and conditions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issue of UE behavior when the condition of multi-Rx becomes violated during a measurement was discussed in last meeting. Whether to define particular UE behavior when such case happens is still FFS.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There are multiple potential reasons which cause to such condition violation, such as the TCI switching from dual TCI to single TCI; The TCI switching from TCI pair 1 to TCI pair 2; When any of these happens, it is possible that the on-going L1 RS resource can not be simultaneous measured with another L1 RS resource or PDCCH/PDSCH reception since UE has to fall back to single-panel Rx operation. When such situation happens, we believe it is better to continue to on-going L1 measurement, but with the relaxed measurement period requirement instead of the requirement for simultaneous reception.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1: Multiple potential reasons would lead to the condition violation during simultaneous measurements or measurement plus data reception, such as the TCI switching from dual TCI to single TCI; the TCI switching from TCI pair 1 to TCI pair 2 etc.</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 When the condition of multi-Rx becomes violated during measurement, UE can continue the on-going L1 measurement but with the relaxed measurement period requirement instead of the requirement for simultaneous reception.</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 xml:space="preserve">Related UE capabilities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The related UE capabilities has less opportunity to be discussed online during previous meetings since of too much issues involved in this WI. Until right now, in terms of UE capabilities, only the following agreements were achieved in [3]. We provide our further analysis on the UE capabilities.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eastAsiaTheme="minorEastAsia"/>
                <w:i/>
                <w:color w:val="auto"/>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rPr>
                <w:rFonts w:eastAsia="宋体"/>
                <w:color w:val="auto"/>
                <w:szCs w:val="24"/>
                <w:lang w:eastAsia="zh-CN"/>
              </w:rPr>
            </w:pPr>
            <w:r>
              <w:rPr>
                <w:rFonts w:eastAsia="宋体"/>
                <w:color w:val="auto"/>
                <w:szCs w:val="24"/>
                <w:lang w:eastAsia="zh-CN"/>
              </w:rPr>
              <w:t xml:space="preserve">It is RAN4 understanding that the R16 UE capability </w:t>
            </w:r>
            <w:r>
              <w:rPr>
                <w:rFonts w:eastAsia="宋体"/>
                <w:i/>
                <w:color w:val="auto"/>
                <w:szCs w:val="24"/>
                <w:lang w:eastAsia="zh-CN"/>
              </w:rPr>
              <w:t>simultaneousReceptionDiffTypeD</w:t>
            </w:r>
            <w:r>
              <w:rPr>
                <w:rFonts w:eastAsia="宋体"/>
                <w:color w:val="auto"/>
                <w:szCs w:val="24"/>
                <w:lang w:eastAsia="zh-CN"/>
              </w:rPr>
              <w:t xml:space="preserve"> is only applicable for simultaneous PDSCH reception.</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eastAsiaTheme="minorEastAsia"/>
                <w:i/>
                <w:color w:val="auto"/>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rPr>
                <w:rFonts w:hint="eastAsia" w:eastAsia="宋体"/>
                <w:color w:val="auto"/>
                <w:sz w:val="20"/>
                <w:szCs w:val="20"/>
                <w:vertAlign w:val="baseline"/>
                <w:lang w:val="en-US" w:eastAsia="zh-CN"/>
              </w:rPr>
            </w:pPr>
            <w:r>
              <w:rPr>
                <w:rFonts w:eastAsia="宋体"/>
                <w:color w:val="auto"/>
                <w:szCs w:val="24"/>
                <w:lang w:eastAsia="zh-CN"/>
              </w:rPr>
              <w:t xml:space="preserve">No need to discuss </w:t>
            </w:r>
            <w:r>
              <w:rPr>
                <w:rFonts w:eastAsia="宋体"/>
                <w:i/>
                <w:color w:val="auto"/>
                <w:szCs w:val="24"/>
                <w:lang w:eastAsia="zh-CN"/>
              </w:rPr>
              <w:t>simultaneousRxDataSSB-DiffNumerology-Inter-r16</w:t>
            </w:r>
            <w:r>
              <w:rPr>
                <w:rFonts w:eastAsia="宋体"/>
                <w:color w:val="auto"/>
                <w:szCs w:val="24"/>
                <w:lang w:eastAsia="zh-CN"/>
              </w:rPr>
              <w:t xml:space="preserve"> in R18 multi-Rx chains WI</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b/>
          <w:color w:val="000000" w:themeColor="text1"/>
          <w:u w:val="single"/>
          <w:lang w:eastAsia="ko-KR"/>
          <w14:textFill>
            <w14:solidFill>
              <w14:schemeClr w14:val="tx1"/>
            </w14:solidFill>
          </w14:textFill>
        </w:rPr>
        <w:t>UE capability for simultaneous reception with different QCL typeD for L1 measurements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With respect to the related UE capability for simultaneous multiple panel reception, the existing UE capability </w:t>
      </w:r>
      <w:r>
        <w:rPr>
          <w:rFonts w:eastAsia="宋体"/>
          <w:i/>
          <w:color w:val="000000" w:themeColor="text1"/>
          <w:szCs w:val="24"/>
          <w:lang w:eastAsia="zh-CN"/>
          <w14:textFill>
            <w14:solidFill>
              <w14:schemeClr w14:val="tx1"/>
            </w14:solidFill>
          </w14:textFill>
        </w:rPr>
        <w:t>simultaneousRxDataSSB-DiffNumerology-Inter-r16</w:t>
      </w:r>
      <w:r>
        <w:rPr>
          <w:rFonts w:hint="eastAsia" w:eastAsia="宋体"/>
          <w:color w:val="auto"/>
          <w:sz w:val="20"/>
          <w:szCs w:val="20"/>
          <w:lang w:val="en-US" w:eastAsia="zh-CN"/>
        </w:rPr>
        <w:t xml:space="preserve"> is decided to be precluded from this WI. Furthermore, the existing UE capability </w:t>
      </w:r>
      <w:r>
        <w:rPr>
          <w:rFonts w:eastAsia="宋体"/>
          <w:i/>
          <w:szCs w:val="24"/>
          <w:lang w:eastAsia="zh-CN"/>
        </w:rPr>
        <w:t>simultaneousReceptionDiffTypeD</w:t>
      </w:r>
      <w:r>
        <w:rPr>
          <w:rFonts w:hint="eastAsia" w:eastAsia="宋体"/>
          <w:color w:val="auto"/>
          <w:sz w:val="20"/>
          <w:szCs w:val="20"/>
          <w:lang w:val="en-US" w:eastAsia="zh-CN"/>
        </w:rPr>
        <w:t xml:space="preserve"> is clarified to be only applicable for simultaneous PDSCHs reception. So we can further discuss whether and how to reuse the existing UE capability </w:t>
      </w:r>
      <w:r>
        <w:rPr>
          <w:rFonts w:hint="eastAsia" w:eastAsia="宋体"/>
          <w:i/>
          <w:iCs/>
          <w:color w:val="auto"/>
          <w:sz w:val="20"/>
          <w:szCs w:val="20"/>
          <w:lang w:val="en-US" w:eastAsia="zh-CN"/>
        </w:rPr>
        <w:t xml:space="preserve">simultaneousRxDataSSB-DiffNumerology </w:t>
      </w:r>
      <w:r>
        <w:rPr>
          <w:rFonts w:hint="eastAsia" w:eastAsia="宋体"/>
          <w:color w:val="auto"/>
          <w:sz w:val="20"/>
          <w:szCs w:val="20"/>
          <w:lang w:val="en-US" w:eastAsia="zh-CN"/>
        </w:rPr>
        <w:t>for the simultaneous reception of of L1 measurement. In fact two cases are included:</w:t>
      </w:r>
    </w:p>
    <w:p>
      <w:pPr>
        <w:pStyle w:val="8"/>
        <w:numPr>
          <w:ilvl w:val="0"/>
          <w:numId w:val="6"/>
        </w:numPr>
        <w:tabs>
          <w:tab w:val="left" w:pos="226"/>
          <w:tab w:val="left" w:pos="284"/>
          <w:tab w:val="left" w:pos="5103"/>
          <w:tab w:val="clear" w:pos="0"/>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  Case 1: simultaneous L1 RS + L1 RS(for L1 measurement restriction relaxation)</w:t>
      </w:r>
    </w:p>
    <w:p>
      <w:pPr>
        <w:pStyle w:val="8"/>
        <w:numPr>
          <w:ilvl w:val="0"/>
          <w:numId w:val="6"/>
        </w:numPr>
        <w:tabs>
          <w:tab w:val="left" w:pos="226"/>
          <w:tab w:val="left" w:pos="284"/>
          <w:tab w:val="left" w:pos="5103"/>
          <w:tab w:val="clear" w:pos="0"/>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  </w:t>
      </w:r>
      <w:r>
        <w:rPr>
          <w:rFonts w:hint="default" w:eastAsia="宋体"/>
          <w:color w:val="auto"/>
          <w:sz w:val="20"/>
          <w:szCs w:val="20"/>
          <w:lang w:val="en-US" w:eastAsia="zh-CN"/>
        </w:rPr>
        <w:t xml:space="preserve">Case </w:t>
      </w:r>
      <w:r>
        <w:rPr>
          <w:rFonts w:hint="eastAsia" w:eastAsia="宋体"/>
          <w:color w:val="auto"/>
          <w:sz w:val="20"/>
          <w:szCs w:val="20"/>
          <w:lang w:val="en-US" w:eastAsia="zh-CN"/>
        </w:rPr>
        <w:t>2</w:t>
      </w:r>
      <w:r>
        <w:rPr>
          <w:rFonts w:hint="default" w:eastAsia="宋体"/>
          <w:color w:val="auto"/>
          <w:sz w:val="20"/>
          <w:szCs w:val="20"/>
          <w:lang w:val="en-US" w:eastAsia="zh-CN"/>
        </w:rPr>
        <w:t xml:space="preserve">: simultaneous </w:t>
      </w:r>
      <w:r>
        <w:rPr>
          <w:rFonts w:hint="eastAsia" w:eastAsia="宋体"/>
          <w:color w:val="auto"/>
          <w:sz w:val="20"/>
          <w:szCs w:val="20"/>
          <w:lang w:val="en-US" w:eastAsia="zh-CN"/>
        </w:rPr>
        <w:t xml:space="preserve">L1 </w:t>
      </w:r>
      <w:r>
        <w:rPr>
          <w:rFonts w:hint="default" w:eastAsia="宋体"/>
          <w:color w:val="auto"/>
          <w:sz w:val="20"/>
          <w:szCs w:val="20"/>
          <w:lang w:val="en-US" w:eastAsia="zh-CN"/>
        </w:rPr>
        <w:t>RS + data</w:t>
      </w:r>
      <w:r>
        <w:rPr>
          <w:rFonts w:hint="eastAsia" w:eastAsia="宋体"/>
          <w:color w:val="auto"/>
          <w:sz w:val="20"/>
          <w:szCs w:val="20"/>
          <w:lang w:val="en-US" w:eastAsia="zh-CN"/>
        </w:rPr>
        <w:t>(</w:t>
      </w:r>
      <w:r>
        <w:rPr>
          <w:rFonts w:hint="default" w:eastAsia="宋体"/>
          <w:color w:val="auto"/>
          <w:sz w:val="20"/>
          <w:szCs w:val="20"/>
          <w:lang w:val="en-US" w:eastAsia="zh-CN"/>
        </w:rPr>
        <w:t>for scheduling availability enhancement</w:t>
      </w:r>
      <w:r>
        <w:rPr>
          <w:rFonts w:hint="eastAsia" w:eastAsia="宋体"/>
          <w:color w:val="auto"/>
          <w:sz w:val="20"/>
          <w:szCs w:val="20"/>
          <w:lang w:val="en-US" w:eastAsia="zh-CN"/>
        </w:rPr>
        <w:t>)</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 xml:space="preserve">Comparing the two cases, to our understanding, the support of Case 2 needs more consideration as it involves data processing in base band, whereas Case 1 is all about measurement. So it is better to introduce two individual UE capabilities referring to the two cases respectively.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2: Introducing two individual UE capabilities for the supporting of simultaneous L1 RS+L1 RS and L1 RS+data respectively.</w:t>
      </w:r>
    </w:p>
    <w:p>
      <w:pPr>
        <w:pStyle w:val="8"/>
        <w:numPr>
          <w:ilvl w:val="0"/>
          <w:numId w:val="0"/>
        </w:numPr>
        <w:tabs>
          <w:tab w:val="left" w:pos="226"/>
          <w:tab w:val="left" w:pos="284"/>
          <w:tab w:val="left" w:pos="5103"/>
        </w:tabs>
        <w:snapToGrid w:val="0"/>
        <w:spacing w:before="156" w:beforeLines="50"/>
        <w:ind w:leftChars="0"/>
        <w:rPr>
          <w:rFonts w:hint="default" w:eastAsia="宋体"/>
          <w:color w:val="auto"/>
          <w:sz w:val="20"/>
          <w:szCs w:val="20"/>
          <w:lang w:val="en-US" w:eastAsia="zh-CN"/>
        </w:rPr>
      </w:pPr>
      <w:r>
        <w:rPr>
          <w:b/>
          <w:color w:val="000000" w:themeColor="text1"/>
          <w:u w:val="single"/>
          <w:lang w:eastAsia="ko-KR"/>
          <w14:textFill>
            <w14:solidFill>
              <w14:schemeClr w14:val="tx1"/>
            </w14:solidFill>
          </w14:textFill>
        </w:rPr>
        <w:t xml:space="preserve">UE capability of </w:t>
      </w:r>
      <w:r>
        <w:rPr>
          <w:b/>
          <w:i/>
          <w:iCs/>
          <w:color w:val="000000" w:themeColor="text1"/>
          <w:u w:val="single"/>
          <w:lang w:eastAsia="ko-KR"/>
          <w14:textFill>
            <w14:solidFill>
              <w14:schemeClr w14:val="tx1"/>
            </w14:solidFill>
          </w14:textFill>
        </w:rPr>
        <w:t>simultaneousRxDataSSB-DiffNumerology</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Based on the following definition, and combined with the specification in [4], the UE capability of </w:t>
      </w:r>
      <w:r>
        <w:rPr>
          <w:rFonts w:hint="eastAsia" w:eastAsia="宋体"/>
          <w:i/>
          <w:iCs/>
          <w:color w:val="auto"/>
          <w:sz w:val="20"/>
          <w:szCs w:val="20"/>
          <w:lang w:val="en-US" w:eastAsia="zh-CN"/>
        </w:rPr>
        <w:t>simultaneousRxDataSSB-DiffNumerology</w:t>
      </w:r>
      <w:r>
        <w:rPr>
          <w:rFonts w:hint="eastAsia" w:eastAsia="宋体"/>
          <w:color w:val="auto"/>
          <w:sz w:val="20"/>
          <w:szCs w:val="20"/>
          <w:lang w:val="en-US" w:eastAsia="zh-CN"/>
        </w:rPr>
        <w:t xml:space="preserve"> is only applicable for FR1, not for FR2.</w:t>
      </w:r>
    </w:p>
    <w:tbl>
      <w:tblPr>
        <w:tblStyle w:val="16"/>
        <w:tblW w:w="9529" w:type="dxa"/>
        <w:tblInd w:w="10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807"/>
        <w:gridCol w:w="709"/>
        <w:gridCol w:w="564"/>
        <w:gridCol w:w="712"/>
        <w:gridCol w:w="73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35"/>
              <w:jc w:val="center"/>
              <w:rPr>
                <w:rFonts w:hint="default" w:eastAsia="宋体"/>
                <w:b/>
                <w:bCs/>
                <w:lang w:val="en-US" w:eastAsia="zh-CN"/>
              </w:rPr>
            </w:pPr>
            <w:r>
              <w:rPr>
                <w:rFonts w:hint="eastAsia"/>
                <w:b/>
                <w:bCs/>
                <w:lang w:val="en-US" w:eastAsia="zh-CN"/>
              </w:rPr>
              <w:t>Definitions for parameters</w:t>
            </w:r>
          </w:p>
        </w:tc>
        <w:tc>
          <w:tcPr>
            <w:tcW w:w="709" w:type="dxa"/>
          </w:tcPr>
          <w:p>
            <w:pPr>
              <w:pStyle w:val="35"/>
              <w:jc w:val="center"/>
              <w:rPr>
                <w:rFonts w:hint="default" w:eastAsia="宋体" w:cs="Arial"/>
                <w:b/>
                <w:bCs/>
                <w:iCs/>
                <w:szCs w:val="18"/>
                <w:lang w:val="en-US" w:eastAsia="zh-CN"/>
              </w:rPr>
            </w:pPr>
            <w:r>
              <w:rPr>
                <w:rFonts w:hint="eastAsia" w:cs="Arial"/>
                <w:b/>
                <w:bCs/>
                <w:iCs/>
                <w:szCs w:val="18"/>
                <w:lang w:val="en-US" w:eastAsia="zh-CN"/>
              </w:rPr>
              <w:t>Per</w:t>
            </w:r>
          </w:p>
        </w:tc>
        <w:tc>
          <w:tcPr>
            <w:tcW w:w="564" w:type="dxa"/>
          </w:tcPr>
          <w:p>
            <w:pPr>
              <w:pStyle w:val="35"/>
              <w:jc w:val="center"/>
              <w:rPr>
                <w:rFonts w:hint="eastAsia" w:eastAsia="宋体" w:cs="Arial"/>
                <w:b/>
                <w:bCs/>
                <w:iCs/>
                <w:szCs w:val="18"/>
                <w:lang w:val="en-US" w:eastAsia="zh-CN"/>
              </w:rPr>
            </w:pPr>
            <w:r>
              <w:rPr>
                <w:rFonts w:hint="eastAsia" w:cs="Arial"/>
                <w:b/>
                <w:bCs/>
                <w:iCs/>
                <w:szCs w:val="18"/>
                <w:lang w:val="en-US" w:eastAsia="zh-CN"/>
              </w:rPr>
              <w:t>M</w:t>
            </w:r>
          </w:p>
        </w:tc>
        <w:tc>
          <w:tcPr>
            <w:tcW w:w="712" w:type="dxa"/>
          </w:tcPr>
          <w:p>
            <w:pPr>
              <w:pStyle w:val="35"/>
              <w:jc w:val="center"/>
              <w:rPr>
                <w:rFonts w:hint="default" w:eastAsia="宋体" w:cs="Arial"/>
                <w:b/>
                <w:bCs/>
                <w:iCs/>
                <w:szCs w:val="18"/>
                <w:lang w:val="en-US" w:eastAsia="zh-CN"/>
              </w:rPr>
            </w:pPr>
            <w:r>
              <w:rPr>
                <w:rFonts w:hint="eastAsia" w:cs="Arial"/>
                <w:b/>
                <w:bCs/>
                <w:iCs/>
                <w:szCs w:val="18"/>
                <w:lang w:val="en-US" w:eastAsia="zh-CN"/>
              </w:rPr>
              <w:t>FDD-TDD DIFF</w:t>
            </w:r>
          </w:p>
        </w:tc>
        <w:tc>
          <w:tcPr>
            <w:tcW w:w="737" w:type="dxa"/>
          </w:tcPr>
          <w:p>
            <w:pPr>
              <w:pStyle w:val="35"/>
              <w:jc w:val="center"/>
              <w:rPr>
                <w:rFonts w:hint="default" w:eastAsia="宋体" w:cs="Arial"/>
                <w:b/>
                <w:bCs/>
                <w:iCs/>
                <w:szCs w:val="18"/>
                <w:lang w:val="en-US" w:eastAsia="zh-CN"/>
              </w:rPr>
            </w:pPr>
            <w:r>
              <w:rPr>
                <w:rFonts w:hint="eastAsia" w:eastAsia="宋体" w:cs="Arial"/>
                <w:b/>
                <w:bCs/>
                <w:iCs/>
                <w:szCs w:val="18"/>
                <w:lang w:val="en-US" w:eastAsia="zh-CN"/>
              </w:rPr>
              <w:t>FR1-FR2 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35"/>
              <w:rPr>
                <w:rFonts w:cs="Arial"/>
                <w:b/>
                <w:bCs/>
                <w:i/>
                <w:iCs/>
                <w:szCs w:val="18"/>
              </w:rPr>
            </w:pPr>
            <w:r>
              <w:rPr>
                <w:rFonts w:cs="Arial"/>
                <w:b/>
                <w:bCs/>
                <w:i/>
                <w:iCs/>
                <w:szCs w:val="18"/>
              </w:rPr>
              <w:t>simultaneousRxDataSSB-DiffNumerology</w:t>
            </w:r>
          </w:p>
          <w:p>
            <w:pPr>
              <w:pStyle w:val="35"/>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w:t>
            </w:r>
          </w:p>
        </w:tc>
        <w:tc>
          <w:tcPr>
            <w:tcW w:w="709" w:type="dxa"/>
          </w:tcPr>
          <w:p>
            <w:pPr>
              <w:pStyle w:val="35"/>
              <w:jc w:val="center"/>
              <w:rPr>
                <w:rFonts w:cs="Arial"/>
                <w:bCs/>
                <w:iCs/>
                <w:szCs w:val="18"/>
              </w:rPr>
            </w:pPr>
            <w:r>
              <w:rPr>
                <w:rFonts w:cs="Arial"/>
                <w:bCs/>
                <w:iCs/>
                <w:szCs w:val="18"/>
              </w:rPr>
              <w:t>UE</w:t>
            </w:r>
          </w:p>
        </w:tc>
        <w:tc>
          <w:tcPr>
            <w:tcW w:w="564" w:type="dxa"/>
          </w:tcPr>
          <w:p>
            <w:pPr>
              <w:pStyle w:val="35"/>
              <w:jc w:val="center"/>
              <w:rPr>
                <w:rFonts w:cs="Arial"/>
                <w:bCs/>
                <w:iCs/>
                <w:szCs w:val="18"/>
              </w:rPr>
            </w:pPr>
            <w:r>
              <w:rPr>
                <w:rFonts w:cs="Arial"/>
                <w:bCs/>
                <w:iCs/>
                <w:szCs w:val="18"/>
              </w:rPr>
              <w:t>No</w:t>
            </w:r>
          </w:p>
        </w:tc>
        <w:tc>
          <w:tcPr>
            <w:tcW w:w="712" w:type="dxa"/>
          </w:tcPr>
          <w:p>
            <w:pPr>
              <w:pStyle w:val="35"/>
              <w:jc w:val="center"/>
              <w:rPr>
                <w:rFonts w:cs="Arial"/>
                <w:bCs/>
                <w:iCs/>
                <w:szCs w:val="18"/>
              </w:rPr>
            </w:pPr>
            <w:r>
              <w:rPr>
                <w:rFonts w:cs="Arial"/>
                <w:bCs/>
                <w:iCs/>
                <w:szCs w:val="18"/>
              </w:rPr>
              <w:t>No</w:t>
            </w:r>
          </w:p>
        </w:tc>
        <w:tc>
          <w:tcPr>
            <w:tcW w:w="737" w:type="dxa"/>
          </w:tcPr>
          <w:p>
            <w:pPr>
              <w:pStyle w:val="35"/>
              <w:jc w:val="center"/>
              <w:rPr>
                <w:rFonts w:eastAsia="MS Mincho" w:cs="Arial"/>
                <w:bCs/>
                <w:iCs/>
                <w:szCs w:val="18"/>
              </w:rPr>
            </w:pPr>
            <w:r>
              <w:rPr>
                <w:rFonts w:eastAsia="MS Mincho" w:cs="Arial"/>
                <w:bCs/>
                <w:iCs/>
                <w:szCs w:val="18"/>
              </w:rPr>
              <w:t>Yes</w:t>
            </w:r>
          </w:p>
        </w:tc>
      </w:tr>
    </w:tbl>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The UE capability of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only applicable for FR1, not for FR2.</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As the above analysis, since two cases including simultaneous L1 RS+L1 RS and L1 RS+data are involved in, so the supporting of different numerology for the simultaneous reception should also be indicated respectively. If the supporting of concurrent SSB and data are consistent between FR1 and FR2-1, the existing UE capability of </w:t>
      </w:r>
      <w:r>
        <w:rPr>
          <w:rFonts w:hint="eastAsia" w:eastAsia="宋体"/>
          <w:i/>
          <w:iCs/>
          <w:color w:val="auto"/>
          <w:sz w:val="20"/>
          <w:szCs w:val="20"/>
          <w:lang w:val="en-US" w:eastAsia="zh-CN"/>
        </w:rPr>
        <w:t>simultaneousRxDataSSB-DiffNumerology</w:t>
      </w:r>
      <w:r>
        <w:rPr>
          <w:rFonts w:hint="eastAsia" w:eastAsia="宋体"/>
          <w:color w:val="auto"/>
          <w:sz w:val="20"/>
          <w:szCs w:val="20"/>
          <w:lang w:val="en-US" w:eastAsia="zh-CN"/>
        </w:rPr>
        <w:t xml:space="preserve"> can be reused to indicate the support of simultaneous L1 RS+data reception with different numerology. Therefore only an additional UE capability of supporting the simultaneous L1 RS+L1 RS of difference numerology is needed.</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3: The supporting of different numerology for the simultaneous reception of L1 RS+L1 RS and L1 RS+data should also be indicated respectively.</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The existing UE capability of simultaneousRxDataSSB-DiffNumerology is reused to indicate the support of simultaneous L1 RS+data reception with different numerology.</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An additional UE capability of supporting the simultaneous L1 RS+L1 RS of difference numerology is needed.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around general RRM aspects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1: Multiple potential reasons would lead to the condition violation during simultaneous measurements or measurement plus data reception, such as the TCI switching from dual TCI to single TCI; the TCI switching from TCI pair 1 to TCI pair 2 etc.</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 When the condition of multi-Rx becomes violated during measurement, UE can continue the on-going L1 measurement but with the relaxed measurement period requirement instead of the requirement for simultaneous reception.</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Introducing two individual UE capabilities for the supporting of simultaneous L1 RS+L1 RS and L1 RS+data respectively.</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3: The supporting of different numerology for the simultaneous reception of L1 RS+L1 RS and L1 RS+data should also be indicated respectively.</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The existing UE capability of simultaneousRxDataSSB-DiffNumerology is reused to indicate the support of simultaneous L1 RS+data reception with different numerology.</w:t>
      </w:r>
    </w:p>
    <w:p>
      <w:pPr>
        <w:pStyle w:val="8"/>
        <w:tabs>
          <w:tab w:val="left" w:pos="226"/>
          <w:tab w:val="left" w:pos="284"/>
          <w:tab w:val="left" w:pos="5103"/>
        </w:tabs>
        <w:snapToGrid w:val="0"/>
        <w:spacing w:before="156" w:beforeLines="50"/>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Proposal 5: An additional UE capability of supporting the simultaneous L1 RS+L1 RS of difference numerology is needed.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eastAsia"/>
          <w:color w:val="auto"/>
          <w:highlight w:val="none"/>
          <w:lang w:val="en-US" w:eastAsia="zh-CN"/>
        </w:rPr>
      </w:pPr>
      <w:r>
        <w:rPr>
          <w:rFonts w:hint="eastAsia"/>
          <w:lang w:val="en-US" w:eastAsia="zh-CN"/>
        </w:rPr>
        <w:t>RP-231452</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7"/>
        </w:numPr>
        <w:ind w:leftChars="0"/>
        <w:rPr>
          <w:rFonts w:hint="eastAsia"/>
          <w:color w:val="auto"/>
          <w:highlight w:val="none"/>
          <w:lang w:val="en-US" w:eastAsia="zh-CN"/>
        </w:rPr>
      </w:pPr>
      <w:r>
        <w:rPr>
          <w:rFonts w:hint="eastAsia"/>
          <w:color w:val="auto"/>
          <w:highlight w:val="none"/>
          <w:lang w:val="en-US" w:eastAsia="zh-CN"/>
        </w:rPr>
        <w:t xml:space="preserve">R4-2314477 </w:t>
      </w:r>
      <w:r>
        <w:rPr>
          <w:rFonts w:hint="default"/>
          <w:color w:val="auto"/>
          <w:highlight w:val="none"/>
          <w:lang w:val="en-US" w:eastAsia="zh-CN"/>
        </w:rPr>
        <w:t>“</w:t>
      </w:r>
      <w:r>
        <w:rPr>
          <w:rFonts w:hint="eastAsia"/>
          <w:color w:val="auto"/>
          <w:highlight w:val="none"/>
          <w:lang w:val="en-US" w:eastAsia="zh-CN"/>
        </w:rPr>
        <w:t>WF on NR FR2 multi-Rx chain DL reception RRM requirements (part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7"/>
        </w:numPr>
        <w:ind w:leftChars="0"/>
        <w:rPr>
          <w:rFonts w:hint="eastAsia"/>
          <w:color w:val="auto"/>
          <w:highlight w:val="none"/>
          <w:lang w:val="en-US" w:eastAsia="zh-CN"/>
        </w:rPr>
      </w:pPr>
      <w:r>
        <w:rPr>
          <w:rFonts w:hint="eastAsia"/>
          <w:color w:val="auto"/>
          <w:highlight w:val="none"/>
          <w:lang w:val="en-US" w:eastAsia="zh-CN"/>
        </w:rPr>
        <w:t xml:space="preserve">R4-2306318 </w:t>
      </w:r>
      <w:r>
        <w:rPr>
          <w:rFonts w:hint="default"/>
          <w:color w:val="auto"/>
          <w:highlight w:val="none"/>
          <w:lang w:val="en-US" w:eastAsia="zh-CN"/>
        </w:rPr>
        <w:t>“</w:t>
      </w:r>
      <w:r>
        <w:rPr>
          <w:rFonts w:hint="eastAsia"/>
          <w:color w:val="auto"/>
          <w:highlight w:val="none"/>
          <w:lang w:val="en-US" w:eastAsia="zh-CN"/>
        </w:rPr>
        <w:t>WF on NR FR2 multi-Rx chain DL reception RRM requirements (part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7"/>
        </w:numPr>
        <w:ind w:leftChars="0"/>
        <w:rPr>
          <w:rFonts w:hint="eastAsia"/>
          <w:color w:val="auto"/>
          <w:lang w:val="en-US" w:eastAsia="zh-CN"/>
        </w:rPr>
      </w:pPr>
      <w:r>
        <w:rPr>
          <w:rFonts w:hint="eastAsia"/>
          <w:color w:val="auto"/>
          <w:highlight w:val="none"/>
          <w:lang w:val="en-US" w:eastAsia="zh-CN"/>
        </w:rPr>
        <w:t>TS38.306-h20</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EFCBB563"/>
    <w:multiLevelType w:val="singleLevel"/>
    <w:tmpl w:val="EFCBB563"/>
    <w:lvl w:ilvl="0" w:tentative="0">
      <w:start w:val="1"/>
      <w:numFmt w:val="bullet"/>
      <w:lvlText w:val=""/>
      <w:lvlJc w:val="left"/>
      <w:pPr>
        <w:tabs>
          <w:tab w:val="left" w:pos="0"/>
        </w:tabs>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5"/>
  </w:num>
  <w:num w:numId="4">
    <w:abstractNumId w:val="2"/>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37CE"/>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2122247"/>
    <w:rsid w:val="02150C3F"/>
    <w:rsid w:val="022C3A09"/>
    <w:rsid w:val="028B6A1D"/>
    <w:rsid w:val="028F1C3E"/>
    <w:rsid w:val="037D0CB3"/>
    <w:rsid w:val="03D4720A"/>
    <w:rsid w:val="03E04DEA"/>
    <w:rsid w:val="04151694"/>
    <w:rsid w:val="04654053"/>
    <w:rsid w:val="04793516"/>
    <w:rsid w:val="047A3CFF"/>
    <w:rsid w:val="04885243"/>
    <w:rsid w:val="05317828"/>
    <w:rsid w:val="05477E90"/>
    <w:rsid w:val="05BB5AB9"/>
    <w:rsid w:val="05C42923"/>
    <w:rsid w:val="05F562DB"/>
    <w:rsid w:val="06963BA6"/>
    <w:rsid w:val="06965F3C"/>
    <w:rsid w:val="07CD3CDD"/>
    <w:rsid w:val="084B363C"/>
    <w:rsid w:val="0855671D"/>
    <w:rsid w:val="089009EB"/>
    <w:rsid w:val="09716BCA"/>
    <w:rsid w:val="098C1CEA"/>
    <w:rsid w:val="09D64B23"/>
    <w:rsid w:val="09E644B8"/>
    <w:rsid w:val="0A383F61"/>
    <w:rsid w:val="0B12013A"/>
    <w:rsid w:val="0B1C5C6A"/>
    <w:rsid w:val="0B243EFB"/>
    <w:rsid w:val="0B3D3C2F"/>
    <w:rsid w:val="0B5D15B4"/>
    <w:rsid w:val="0B6204CF"/>
    <w:rsid w:val="0BAC06FA"/>
    <w:rsid w:val="0BB0429A"/>
    <w:rsid w:val="0BFF5FC6"/>
    <w:rsid w:val="0C276675"/>
    <w:rsid w:val="0C394019"/>
    <w:rsid w:val="0EC91588"/>
    <w:rsid w:val="0F6C0B73"/>
    <w:rsid w:val="0F8009F9"/>
    <w:rsid w:val="10997F43"/>
    <w:rsid w:val="10DE7BAE"/>
    <w:rsid w:val="11023BFD"/>
    <w:rsid w:val="110404BB"/>
    <w:rsid w:val="111C20F6"/>
    <w:rsid w:val="11DD2CBB"/>
    <w:rsid w:val="11ED345F"/>
    <w:rsid w:val="120774A3"/>
    <w:rsid w:val="12580C13"/>
    <w:rsid w:val="130B3696"/>
    <w:rsid w:val="14006D19"/>
    <w:rsid w:val="1414436B"/>
    <w:rsid w:val="1481754F"/>
    <w:rsid w:val="148F5721"/>
    <w:rsid w:val="14AC57CD"/>
    <w:rsid w:val="14B9644E"/>
    <w:rsid w:val="15ED3E9B"/>
    <w:rsid w:val="164514BE"/>
    <w:rsid w:val="16E8141E"/>
    <w:rsid w:val="170F06AA"/>
    <w:rsid w:val="17225508"/>
    <w:rsid w:val="17B52E39"/>
    <w:rsid w:val="180A6E32"/>
    <w:rsid w:val="183F2CD2"/>
    <w:rsid w:val="1856323E"/>
    <w:rsid w:val="188D6BB6"/>
    <w:rsid w:val="18AF55E3"/>
    <w:rsid w:val="18B1519A"/>
    <w:rsid w:val="18CD0507"/>
    <w:rsid w:val="195D7D48"/>
    <w:rsid w:val="19852D03"/>
    <w:rsid w:val="1A6F1A83"/>
    <w:rsid w:val="1AD01A1B"/>
    <w:rsid w:val="1B4C5221"/>
    <w:rsid w:val="1B61065A"/>
    <w:rsid w:val="1B940E5A"/>
    <w:rsid w:val="1BBF3927"/>
    <w:rsid w:val="1C177B08"/>
    <w:rsid w:val="1C644189"/>
    <w:rsid w:val="1C9001C6"/>
    <w:rsid w:val="1CBA2101"/>
    <w:rsid w:val="1D0573D7"/>
    <w:rsid w:val="1D153DC4"/>
    <w:rsid w:val="1D223E0B"/>
    <w:rsid w:val="1D3A54CD"/>
    <w:rsid w:val="1DF33EB1"/>
    <w:rsid w:val="1E132F88"/>
    <w:rsid w:val="1E2867E9"/>
    <w:rsid w:val="1E853F6F"/>
    <w:rsid w:val="1E9C7BCC"/>
    <w:rsid w:val="1ECC1E3C"/>
    <w:rsid w:val="1F5B4632"/>
    <w:rsid w:val="1FFD4083"/>
    <w:rsid w:val="20013E13"/>
    <w:rsid w:val="20122D1B"/>
    <w:rsid w:val="202F3D4C"/>
    <w:rsid w:val="206F1E13"/>
    <w:rsid w:val="20E2786E"/>
    <w:rsid w:val="21014C39"/>
    <w:rsid w:val="21045DF0"/>
    <w:rsid w:val="21244EB1"/>
    <w:rsid w:val="213964D8"/>
    <w:rsid w:val="21595D04"/>
    <w:rsid w:val="21835807"/>
    <w:rsid w:val="21F13629"/>
    <w:rsid w:val="22AF59B6"/>
    <w:rsid w:val="2305377E"/>
    <w:rsid w:val="231A76D5"/>
    <w:rsid w:val="23BE460D"/>
    <w:rsid w:val="24122135"/>
    <w:rsid w:val="24D4257E"/>
    <w:rsid w:val="24F5519F"/>
    <w:rsid w:val="25362D8A"/>
    <w:rsid w:val="2572202B"/>
    <w:rsid w:val="25AE612B"/>
    <w:rsid w:val="2605683C"/>
    <w:rsid w:val="26661176"/>
    <w:rsid w:val="26672AC5"/>
    <w:rsid w:val="26BB1419"/>
    <w:rsid w:val="27315D1D"/>
    <w:rsid w:val="27B748AA"/>
    <w:rsid w:val="27CB4CB9"/>
    <w:rsid w:val="27CC4452"/>
    <w:rsid w:val="281C2F58"/>
    <w:rsid w:val="28CD5B2D"/>
    <w:rsid w:val="292D5BF2"/>
    <w:rsid w:val="292F6239"/>
    <w:rsid w:val="29642C4B"/>
    <w:rsid w:val="29A66B9A"/>
    <w:rsid w:val="29B35277"/>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E63A4"/>
    <w:rsid w:val="301C6BB6"/>
    <w:rsid w:val="30723652"/>
    <w:rsid w:val="30766FB2"/>
    <w:rsid w:val="312654EA"/>
    <w:rsid w:val="31565660"/>
    <w:rsid w:val="319708F2"/>
    <w:rsid w:val="31B14C9E"/>
    <w:rsid w:val="31E00A6C"/>
    <w:rsid w:val="31FE2981"/>
    <w:rsid w:val="32545CB6"/>
    <w:rsid w:val="33C522D7"/>
    <w:rsid w:val="33D97FA6"/>
    <w:rsid w:val="33F228A5"/>
    <w:rsid w:val="347C19A0"/>
    <w:rsid w:val="34807672"/>
    <w:rsid w:val="351B1E30"/>
    <w:rsid w:val="351D459F"/>
    <w:rsid w:val="358E5935"/>
    <w:rsid w:val="35B06C6A"/>
    <w:rsid w:val="36941AA2"/>
    <w:rsid w:val="36B46C09"/>
    <w:rsid w:val="36D37423"/>
    <w:rsid w:val="379D23F9"/>
    <w:rsid w:val="37E74183"/>
    <w:rsid w:val="38230E9D"/>
    <w:rsid w:val="3A185287"/>
    <w:rsid w:val="3A1F46B8"/>
    <w:rsid w:val="3A495290"/>
    <w:rsid w:val="3A692CD0"/>
    <w:rsid w:val="3B270929"/>
    <w:rsid w:val="3B3D5571"/>
    <w:rsid w:val="3B5D276F"/>
    <w:rsid w:val="3B673620"/>
    <w:rsid w:val="3B9A1F29"/>
    <w:rsid w:val="3CA83595"/>
    <w:rsid w:val="3CE4646B"/>
    <w:rsid w:val="3D5E7AA8"/>
    <w:rsid w:val="3D6F2596"/>
    <w:rsid w:val="3F5E503E"/>
    <w:rsid w:val="405F175E"/>
    <w:rsid w:val="40737877"/>
    <w:rsid w:val="407D705A"/>
    <w:rsid w:val="40A811A8"/>
    <w:rsid w:val="40C765F3"/>
    <w:rsid w:val="41B8634B"/>
    <w:rsid w:val="41C755BE"/>
    <w:rsid w:val="42424160"/>
    <w:rsid w:val="427919DF"/>
    <w:rsid w:val="42A01CD1"/>
    <w:rsid w:val="42B16B47"/>
    <w:rsid w:val="42F869D2"/>
    <w:rsid w:val="433D4368"/>
    <w:rsid w:val="43553536"/>
    <w:rsid w:val="438A79C8"/>
    <w:rsid w:val="44972678"/>
    <w:rsid w:val="44C465F8"/>
    <w:rsid w:val="451632B9"/>
    <w:rsid w:val="45906394"/>
    <w:rsid w:val="45D40A2F"/>
    <w:rsid w:val="45F60A50"/>
    <w:rsid w:val="46142D0C"/>
    <w:rsid w:val="46151904"/>
    <w:rsid w:val="463A5AC1"/>
    <w:rsid w:val="46970A81"/>
    <w:rsid w:val="46B036BF"/>
    <w:rsid w:val="46EE1939"/>
    <w:rsid w:val="47282363"/>
    <w:rsid w:val="476B3528"/>
    <w:rsid w:val="47C726B0"/>
    <w:rsid w:val="47EC7B96"/>
    <w:rsid w:val="485C7C16"/>
    <w:rsid w:val="489C691C"/>
    <w:rsid w:val="49DC4EAC"/>
    <w:rsid w:val="49E55BC5"/>
    <w:rsid w:val="4B9C7CDF"/>
    <w:rsid w:val="4C1C63D6"/>
    <w:rsid w:val="4C864A35"/>
    <w:rsid w:val="4E015C76"/>
    <w:rsid w:val="4E1A3FA5"/>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6E37BE"/>
    <w:rsid w:val="5372021A"/>
    <w:rsid w:val="53A3105E"/>
    <w:rsid w:val="53C64B93"/>
    <w:rsid w:val="548A6C60"/>
    <w:rsid w:val="54E07F19"/>
    <w:rsid w:val="551F20A6"/>
    <w:rsid w:val="55B1164D"/>
    <w:rsid w:val="55B4735E"/>
    <w:rsid w:val="55BB221D"/>
    <w:rsid w:val="56371459"/>
    <w:rsid w:val="56484633"/>
    <w:rsid w:val="569D39ED"/>
    <w:rsid w:val="574B3EB2"/>
    <w:rsid w:val="58D0053D"/>
    <w:rsid w:val="58F67DF5"/>
    <w:rsid w:val="59064002"/>
    <w:rsid w:val="59745E07"/>
    <w:rsid w:val="598C40A0"/>
    <w:rsid w:val="59930B2E"/>
    <w:rsid w:val="59DA647E"/>
    <w:rsid w:val="5A556E1A"/>
    <w:rsid w:val="5B9464DF"/>
    <w:rsid w:val="5C1166E3"/>
    <w:rsid w:val="5E2864D0"/>
    <w:rsid w:val="5E494511"/>
    <w:rsid w:val="5EB44FC0"/>
    <w:rsid w:val="5EB81F13"/>
    <w:rsid w:val="5EDA64BC"/>
    <w:rsid w:val="5F207F65"/>
    <w:rsid w:val="5F6666BE"/>
    <w:rsid w:val="5FBA395F"/>
    <w:rsid w:val="60B92183"/>
    <w:rsid w:val="60EC2CBA"/>
    <w:rsid w:val="61661B78"/>
    <w:rsid w:val="618636C8"/>
    <w:rsid w:val="61CC2D28"/>
    <w:rsid w:val="62DE3B93"/>
    <w:rsid w:val="630C63B9"/>
    <w:rsid w:val="63454F29"/>
    <w:rsid w:val="635902CD"/>
    <w:rsid w:val="642A3E76"/>
    <w:rsid w:val="645E1DDB"/>
    <w:rsid w:val="64706BBE"/>
    <w:rsid w:val="64F2095B"/>
    <w:rsid w:val="65267327"/>
    <w:rsid w:val="65D63F94"/>
    <w:rsid w:val="66036AF7"/>
    <w:rsid w:val="66850BFA"/>
    <w:rsid w:val="67594709"/>
    <w:rsid w:val="67A858DB"/>
    <w:rsid w:val="67FE4166"/>
    <w:rsid w:val="68AD2162"/>
    <w:rsid w:val="68C401C3"/>
    <w:rsid w:val="69045D7F"/>
    <w:rsid w:val="693027BF"/>
    <w:rsid w:val="6968769B"/>
    <w:rsid w:val="696C5A1D"/>
    <w:rsid w:val="69831B57"/>
    <w:rsid w:val="698E7A9D"/>
    <w:rsid w:val="69A833BD"/>
    <w:rsid w:val="69FB3F8F"/>
    <w:rsid w:val="6A5D78D5"/>
    <w:rsid w:val="6A85354A"/>
    <w:rsid w:val="6B891BF1"/>
    <w:rsid w:val="6BE46C6E"/>
    <w:rsid w:val="6C8E0C06"/>
    <w:rsid w:val="6CD1716B"/>
    <w:rsid w:val="6D566F0F"/>
    <w:rsid w:val="6D7A1775"/>
    <w:rsid w:val="6D836F72"/>
    <w:rsid w:val="6DC2026F"/>
    <w:rsid w:val="6DDE3DAF"/>
    <w:rsid w:val="6E281030"/>
    <w:rsid w:val="6E2C7D5B"/>
    <w:rsid w:val="6E3241BE"/>
    <w:rsid w:val="6EB97A9D"/>
    <w:rsid w:val="6EC82818"/>
    <w:rsid w:val="6EF10A90"/>
    <w:rsid w:val="6F9621E0"/>
    <w:rsid w:val="6FC2089A"/>
    <w:rsid w:val="6FD45BF8"/>
    <w:rsid w:val="6FFF1868"/>
    <w:rsid w:val="70332195"/>
    <w:rsid w:val="712150A0"/>
    <w:rsid w:val="71507435"/>
    <w:rsid w:val="715F4C2D"/>
    <w:rsid w:val="721C3FA1"/>
    <w:rsid w:val="722F78FB"/>
    <w:rsid w:val="723D67C5"/>
    <w:rsid w:val="7244013B"/>
    <w:rsid w:val="7250627B"/>
    <w:rsid w:val="72BF60CA"/>
    <w:rsid w:val="72F41282"/>
    <w:rsid w:val="733D0D32"/>
    <w:rsid w:val="73D411F1"/>
    <w:rsid w:val="74165422"/>
    <w:rsid w:val="753811DE"/>
    <w:rsid w:val="75647498"/>
    <w:rsid w:val="7566040A"/>
    <w:rsid w:val="757733D9"/>
    <w:rsid w:val="75A7114C"/>
    <w:rsid w:val="75BE67D4"/>
    <w:rsid w:val="75C2004C"/>
    <w:rsid w:val="75C759C1"/>
    <w:rsid w:val="760F5DAE"/>
    <w:rsid w:val="762D64F3"/>
    <w:rsid w:val="766B6FB4"/>
    <w:rsid w:val="767E7EFF"/>
    <w:rsid w:val="76A9299C"/>
    <w:rsid w:val="775B4604"/>
    <w:rsid w:val="77C067C3"/>
    <w:rsid w:val="77EA64D7"/>
    <w:rsid w:val="782347DB"/>
    <w:rsid w:val="78911E31"/>
    <w:rsid w:val="7922350F"/>
    <w:rsid w:val="792B5470"/>
    <w:rsid w:val="79B2715A"/>
    <w:rsid w:val="79C637D8"/>
    <w:rsid w:val="7A9367CB"/>
    <w:rsid w:val="7AA10DE7"/>
    <w:rsid w:val="7AD3168F"/>
    <w:rsid w:val="7AF22571"/>
    <w:rsid w:val="7B69224B"/>
    <w:rsid w:val="7BE80F25"/>
    <w:rsid w:val="7C1C35A7"/>
    <w:rsid w:val="7C45431D"/>
    <w:rsid w:val="7C952974"/>
    <w:rsid w:val="7D243E1C"/>
    <w:rsid w:val="7D3219D5"/>
    <w:rsid w:val="7D734AA7"/>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2023-09-27T14:15:28Z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AE12E00B060A4B598356520CC3E162FF</vt:lpwstr>
  </property>
</Properties>
</file>